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https://agenciapara.com.br/midias/anexos/15729A_2019.10.16.extra.pdf</w:t>
      </w:r>
    </w:p>
    <w:p w:rsidR="00000000" w:rsidDel="00000000" w:rsidP="00000000" w:rsidRDefault="00000000" w:rsidRPr="00000000" w14:paraId="00000002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right"/>
        <w:rPr/>
      </w:pPr>
      <w:r w:rsidDel="00000000" w:rsidR="00000000" w:rsidRPr="00000000">
        <w:rPr>
          <w:rtl w:val="0"/>
        </w:rPr>
        <w:t xml:space="preserve">Belém, 05 de novembro de 2019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EXMO. SR. GOVERNADOR DO ESTADO DO PARÁ HELDER BARBALHO</w:t>
      </w:r>
    </w:p>
    <w:p w:rsidR="00000000" w:rsidDel="00000000" w:rsidP="00000000" w:rsidRDefault="00000000" w:rsidRPr="00000000" w14:paraId="00000007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EXMO. SR. SECRETÁRIO DE ESTADO DE MEIO AMBIENTE E SUSTENTABILIDADE JOSÉ MAURO O’DE ALMEIDA</w:t>
      </w:r>
    </w:p>
    <w:p w:rsidR="00000000" w:rsidDel="00000000" w:rsidP="00000000" w:rsidRDefault="00000000" w:rsidRPr="00000000" w14:paraId="00000008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Assunto: Decreto Estadual nº 346/2019, que institui a estratégia de financiamento denominada Fundo da Amazônia Oriental (FAO)  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O aumento do desmatamento e das queimadas em 2019, em especial no Estado do Pará, é motivo de profunda preocupação das organizações e movimentos sociedade paraense abaixo assinadas. Saudamos a iniciativa do Governo do Estado em adotar um discurso de conciliação entre conservação e desenvolvimento, especialmente diante do enfraquecimento de ações de comando e controle ambiental por parte do Governo Federal. Acreditamos também ser relevante a criação de um mecanismo financeiro para captar e investir recursos para reduzir desmatamento e emissões de gases do efeito estufa no Pará, como busca o Fundo da Amazônia Oriental (FAO), criado pelo Decreto Estadual nº 346/2019. </w:t>
      </w:r>
    </w:p>
    <w:p w:rsidR="00000000" w:rsidDel="00000000" w:rsidP="00000000" w:rsidRDefault="00000000" w:rsidRPr="00000000" w14:paraId="0000000D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No entanto, a captação para esse fim requer a adoção de uma estratégia com metas claras para uso dos recursos, bem como a aplicação de salvaguardas, a exemplo da participação pública efetiva na construção e implementação de mecanismos financeiros ligados a temas florestais. O Pará ainda não atende esses elementos, já que a única estratégia existente está desatualizada e tem metas até 2020, que é o caso do Plano Estadual de Prevenção, Controle e Alternativas ao Desmatamento do Estado do Pará (PPCAD), instituído pelo Decreto Estadual nº 31.345/2009. </w:t>
      </w:r>
    </w:p>
    <w:p w:rsidR="00000000" w:rsidDel="00000000" w:rsidP="00000000" w:rsidRDefault="00000000" w:rsidRPr="00000000" w14:paraId="0000000E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Além disso, entendemos que a composição do Comitê Gestor do novo Fundo da Amazônia Oriental deveria adotar uma estrutura de equidade entre membros do governo e sociedade civil. O Comitê precisa refletir a diversidade de atores da sociedade civil, incluindo organizações da sociedade civil, academia, setor privado, movimentos sociais, populações tradicionais e povos indígenas. Além disso, deveria prever a participação de municípios do estado. Como exemplo, tal princípio foi adotado na criação do Comitê Gestor do Fundo Amazônia, o que gerou credibilidade e confiança perante doadores internacionais e permitiu a captação de R$ 3,4 bilhões para investimento em sustentabilidade na região. A ameaça de mudança na composição do COFA para instituir um controle majoritariamente do governo contribuiu com a atual crise deste fundo. Portanto, novos mecanismos financeiros criados com objetivos semelhantes precisam considerar essa experiência e adotar as boas práticas de participação pública.</w:t>
      </w:r>
    </w:p>
    <w:p w:rsidR="00000000" w:rsidDel="00000000" w:rsidP="00000000" w:rsidRDefault="00000000" w:rsidRPr="00000000" w14:paraId="0000000F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Esperamos que o governo reconsidere a estrutura do comitê com base nessa manifestação, para que, num processo de diálogo, consolide uma estrutura robusta para gerar a credibilidade necessária para doadores e para a sociedade paraense.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Assinam a carta: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AFP – Associação Floresta Protegida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Representante: Bepnhoti Atydjare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Eneida Canêdo Guimarães do Santos, Conselheira Titular do Conselho Nacional dos Direitos Humanos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FETAGRI-PA - Federação dos Trabalhadores Rurais Agricultores e Agricultoras Familiares do Estado do Pará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Representante: Ângela Lopes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IEB – Instituto Internacional de Educação do Brasil.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Representante: Maria José Gontijo, 162.450.406-04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2"/>
          <w:tab w:val="left" w:pos="284"/>
        </w:tabs>
        <w:spacing w:after="0" w:before="0" w:line="48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IMAZON – Instituto do Homem e Meio Ambiente da Amazônia</w:t>
      </w:r>
    </w:p>
    <w:p w:rsidR="00000000" w:rsidDel="00000000" w:rsidP="00000000" w:rsidRDefault="00000000" w:rsidRPr="00000000" w14:paraId="00000019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Ritaumaria Pereira, 974.791.345-20</w:t>
      </w:r>
    </w:p>
    <w:p w:rsidR="00000000" w:rsidDel="00000000" w:rsidP="00000000" w:rsidRDefault="00000000" w:rsidRPr="00000000" w14:paraId="0000001A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6. ISA – INSTITUTO SOCIOAMBIENTAL </w:t>
      </w:r>
    </w:p>
    <w:p w:rsidR="00000000" w:rsidDel="00000000" w:rsidP="00000000" w:rsidRDefault="00000000" w:rsidRPr="00000000" w14:paraId="0000001B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Rodrigo Prates Junqueira, 196.919.748-00 </w:t>
      </w:r>
    </w:p>
    <w:p w:rsidR="00000000" w:rsidDel="00000000" w:rsidP="00000000" w:rsidRDefault="00000000" w:rsidRPr="00000000" w14:paraId="0000001C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7. KABU – Instituto Kabu</w:t>
      </w:r>
    </w:p>
    <w:p w:rsidR="00000000" w:rsidDel="00000000" w:rsidP="00000000" w:rsidRDefault="00000000" w:rsidRPr="00000000" w14:paraId="0000001D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Tomeikwa Bapakati, 604647392-68</w:t>
      </w:r>
    </w:p>
    <w:p w:rsidR="00000000" w:rsidDel="00000000" w:rsidP="00000000" w:rsidRDefault="00000000" w:rsidRPr="00000000" w14:paraId="0000001E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8. MAB – Movimento dos Atingidos por Barragens</w:t>
      </w:r>
    </w:p>
    <w:p w:rsidR="00000000" w:rsidDel="00000000" w:rsidP="00000000" w:rsidRDefault="00000000" w:rsidRPr="00000000" w14:paraId="0000001F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Iury Charles Bezerra, 019.871.533-16</w:t>
      </w:r>
    </w:p>
    <w:p w:rsidR="00000000" w:rsidDel="00000000" w:rsidP="00000000" w:rsidRDefault="00000000" w:rsidRPr="00000000" w14:paraId="00000020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9. MALUNGU – Coordenação Estadual das Associações das Comunidades Remanescentes de Quilombos do Pará</w:t>
      </w:r>
    </w:p>
    <w:p w:rsidR="00000000" w:rsidDel="00000000" w:rsidP="00000000" w:rsidRDefault="00000000" w:rsidRPr="00000000" w14:paraId="00000021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Aurélio dos Santos Borges, 634.621.092-00</w:t>
      </w:r>
    </w:p>
    <w:p w:rsidR="00000000" w:rsidDel="00000000" w:rsidP="00000000" w:rsidRDefault="00000000" w:rsidRPr="00000000" w14:paraId="00000022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10. MST – Movimento dos Trabalhadores Rurais Sem Terra</w:t>
      </w:r>
    </w:p>
    <w:p w:rsidR="00000000" w:rsidDel="00000000" w:rsidP="00000000" w:rsidRDefault="00000000" w:rsidRPr="00000000" w14:paraId="00000023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Representante: Polliane Barbosa Soares Reis, 793.508.792-04</w:t>
      </w:r>
    </w:p>
    <w:p w:rsidR="00000000" w:rsidDel="00000000" w:rsidP="00000000" w:rsidRDefault="00000000" w:rsidRPr="00000000" w14:paraId="00000024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11. Sindicato dos Trabalhadores Rurais Agricultores e Agriculturas Familiares de Santarém</w:t>
      </w:r>
    </w:p>
    <w:p w:rsidR="00000000" w:rsidDel="00000000" w:rsidP="00000000" w:rsidRDefault="00000000" w:rsidRPr="00000000" w14:paraId="00000025">
      <w:pPr>
        <w:spacing w:line="480" w:lineRule="auto"/>
        <w:rPr/>
      </w:pPr>
      <w:r w:rsidDel="00000000" w:rsidR="00000000" w:rsidRPr="00000000">
        <w:rPr>
          <w:rtl w:val="0"/>
        </w:rPr>
        <w:t xml:space="preserve">Representante: Manoel Edivaldo Santos Matos, 195.673.592-53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